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DC9" w:rsidRPr="006A5774" w:rsidRDefault="000148F6" w:rsidP="00CC3DC9">
      <w:pPr>
        <w:widowControl/>
        <w:shd w:val="clear" w:color="auto" w:fill="F9FBFB"/>
        <w:ind w:hanging="480"/>
        <w:rPr>
          <w:rFonts w:ascii="細明體" w:eastAsia="細明體" w:hAnsi="細明體" w:cs="新細明體"/>
          <w:b/>
          <w:color w:val="0000CC"/>
          <w:kern w:val="0"/>
          <w:sz w:val="32"/>
          <w:szCs w:val="32"/>
        </w:rPr>
      </w:pPr>
      <w:bookmarkStart w:id="0" w:name="_GoBack"/>
      <w:bookmarkEnd w:id="0"/>
      <w:r w:rsidRPr="006A5774">
        <w:rPr>
          <w:rFonts w:ascii="細明體" w:eastAsia="細明體" w:hAnsi="細明體" w:cs="新細明體" w:hint="eastAsia"/>
          <w:b/>
          <w:color w:val="0000CC"/>
          <w:kern w:val="0"/>
          <w:sz w:val="32"/>
          <w:szCs w:val="32"/>
        </w:rPr>
        <w:t xml:space="preserve">　　＜</w:t>
      </w:r>
      <w:r w:rsidR="005A1689" w:rsidRPr="006A5774">
        <w:rPr>
          <w:rFonts w:ascii="細明體" w:eastAsia="細明體" w:hAnsi="細明體" w:cs="新細明體" w:hint="eastAsia"/>
          <w:b/>
          <w:color w:val="0000CC"/>
          <w:kern w:val="0"/>
          <w:sz w:val="32"/>
          <w:szCs w:val="32"/>
        </w:rPr>
        <w:t>教師執行導護職務，現行相關保險</w:t>
      </w:r>
      <w:r w:rsidR="00CC3DC9" w:rsidRPr="006A5774">
        <w:rPr>
          <w:rFonts w:ascii="細明體" w:eastAsia="細明體" w:hAnsi="細明體" w:cs="新細明體" w:hint="eastAsia"/>
          <w:b/>
          <w:color w:val="0000CC"/>
          <w:kern w:val="0"/>
          <w:sz w:val="32"/>
          <w:szCs w:val="32"/>
        </w:rPr>
        <w:t>規定</w:t>
      </w:r>
      <w:r w:rsidRPr="006A5774">
        <w:rPr>
          <w:rFonts w:ascii="細明體" w:eastAsia="細明體" w:hAnsi="細明體" w:cs="新細明體" w:hint="eastAsia"/>
          <w:b/>
          <w:color w:val="0000CC"/>
          <w:kern w:val="0"/>
          <w:sz w:val="32"/>
          <w:szCs w:val="32"/>
        </w:rPr>
        <w:t>＞</w:t>
      </w:r>
      <w:r w:rsidR="00CC3DC9" w:rsidRPr="006A5774">
        <w:rPr>
          <w:rFonts w:ascii="細明體" w:eastAsia="細明體" w:hAnsi="細明體" w:cs="新細明體" w:hint="eastAsia"/>
          <w:b/>
          <w:color w:val="0000CC"/>
          <w:kern w:val="0"/>
          <w:sz w:val="32"/>
          <w:szCs w:val="32"/>
        </w:rPr>
        <w:t>:</w:t>
      </w:r>
    </w:p>
    <w:p w:rsidR="000148F6" w:rsidRDefault="000148F6" w:rsidP="000148F6">
      <w:pPr>
        <w:widowControl/>
        <w:shd w:val="clear" w:color="auto" w:fill="F9FBFB"/>
      </w:pPr>
      <w:r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一、</w:t>
      </w:r>
      <w:r w:rsidR="00CC3DC9"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公保：</w:t>
      </w:r>
      <w:r w:rsidR="00CC3DC9" w:rsidRPr="000148F6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</w:rPr>
        <w:t>依「</w:t>
      </w:r>
      <w:hyperlink r:id="rId5" w:history="1">
        <w:r w:rsidR="00CC3DC9" w:rsidRPr="000148F6">
          <w:rPr>
            <w:rStyle w:val="a3"/>
            <w:rFonts w:ascii="標楷體" w:eastAsia="標楷體" w:hAnsi="標楷體" w:hint="eastAsia"/>
            <w:color w:val="000000" w:themeColor="text1"/>
            <w:sz w:val="27"/>
            <w:szCs w:val="27"/>
            <w:u w:val="none"/>
            <w:shd w:val="clear" w:color="auto" w:fill="F5FCFB"/>
          </w:rPr>
          <w:t>公教人員保險法</w:t>
        </w:r>
      </w:hyperlink>
      <w:r w:rsidR="00CC3DC9" w:rsidRPr="000148F6">
        <w:rPr>
          <w:rFonts w:ascii="標楷體" w:eastAsia="標楷體" w:hAnsi="標楷體" w:hint="eastAsia"/>
          <w:color w:val="000000" w:themeColor="text1"/>
        </w:rPr>
        <w:t>」第13</w:t>
      </w:r>
      <w:r w:rsidRPr="000148F6">
        <w:rPr>
          <w:rFonts w:ascii="標楷體" w:eastAsia="標楷體" w:hAnsi="標楷體" w:hint="eastAsia"/>
          <w:color w:val="000000" w:themeColor="text1"/>
        </w:rPr>
        <w:t>、27</w:t>
      </w:r>
      <w:r w:rsidR="00CC3DC9" w:rsidRPr="000148F6">
        <w:rPr>
          <w:rFonts w:ascii="標楷體" w:eastAsia="標楷體" w:hAnsi="標楷體" w:hint="eastAsia"/>
          <w:color w:val="000000" w:themeColor="text1"/>
        </w:rPr>
        <w:t>條規定</w:t>
      </w:r>
      <w:r w:rsidRPr="000148F6">
        <w:rPr>
          <w:rFonts w:ascii="標楷體" w:eastAsia="標楷體" w:hAnsi="標楷體" w:hint="eastAsia"/>
          <w:color w:val="000000" w:themeColor="text1"/>
        </w:rPr>
        <w:t>，摘要如</w:t>
      </w:r>
      <w:r w:rsidR="006A5774">
        <w:rPr>
          <w:rFonts w:ascii="標楷體" w:eastAsia="標楷體" w:hAnsi="標楷體" w:hint="eastAsia"/>
          <w:color w:val="000000" w:themeColor="text1"/>
        </w:rPr>
        <w:t>下：</w:t>
      </w: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148F6" w:rsidTr="006A5774">
        <w:tc>
          <w:tcPr>
            <w:tcW w:w="1843" w:type="dxa"/>
          </w:tcPr>
          <w:p w:rsidR="000148F6" w:rsidRPr="006A5774" w:rsidRDefault="000148F6" w:rsidP="000148F6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A5774">
              <w:rPr>
                <w:rFonts w:ascii="標楷體" w:eastAsia="標楷體" w:hAnsi="標楷體" w:hint="eastAsia"/>
                <w:sz w:val="28"/>
                <w:szCs w:val="28"/>
              </w:rPr>
              <w:t>失能</w:t>
            </w:r>
          </w:p>
        </w:tc>
        <w:tc>
          <w:tcPr>
            <w:tcW w:w="8364" w:type="dxa"/>
          </w:tcPr>
          <w:p w:rsidR="000148F6" w:rsidRPr="000148F6" w:rsidRDefault="000148F6" w:rsidP="000148F6">
            <w:pPr>
              <w:pStyle w:val="a4"/>
              <w:widowControl/>
              <w:ind w:leftChars="0" w:left="0"/>
              <w:rPr>
                <w:rFonts w:ascii="標楷體" w:eastAsia="標楷體" w:hAnsi="標楷體"/>
              </w:rPr>
            </w:pPr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被保險人發生傷害事故或</w:t>
            </w:r>
            <w:proofErr w:type="gramStart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罹</w:t>
            </w:r>
            <w:proofErr w:type="gramEnd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患疾病，經醫院鑑定為永久失能者，按六個月保險俸額平均數，核給：一、因執行公務或服兵役致成全失能者，給付三十六</w:t>
            </w:r>
            <w:proofErr w:type="gramStart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個</w:t>
            </w:r>
            <w:proofErr w:type="gramEnd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月；</w:t>
            </w:r>
            <w:proofErr w:type="gramStart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半失能</w:t>
            </w:r>
            <w:proofErr w:type="gramEnd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者，給付十八個月；部分失能者，給付八個月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。</w:t>
            </w:r>
          </w:p>
        </w:tc>
      </w:tr>
      <w:tr w:rsidR="000148F6" w:rsidTr="006A5774">
        <w:tc>
          <w:tcPr>
            <w:tcW w:w="1843" w:type="dxa"/>
          </w:tcPr>
          <w:p w:rsidR="000148F6" w:rsidRPr="006A5774" w:rsidRDefault="000148F6" w:rsidP="000148F6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A5774">
              <w:rPr>
                <w:rFonts w:ascii="標楷體" w:eastAsia="標楷體" w:hAnsi="標楷體" w:hint="eastAsia"/>
                <w:sz w:val="28"/>
                <w:szCs w:val="28"/>
              </w:rPr>
              <w:t>死亡</w:t>
            </w:r>
          </w:p>
        </w:tc>
        <w:tc>
          <w:tcPr>
            <w:tcW w:w="8364" w:type="dxa"/>
          </w:tcPr>
          <w:p w:rsidR="000148F6" w:rsidRPr="000148F6" w:rsidRDefault="000148F6" w:rsidP="000148F6">
            <w:pPr>
              <w:pStyle w:val="a4"/>
              <w:widowControl/>
              <w:ind w:leftChars="0" w:left="0"/>
              <w:rPr>
                <w:rFonts w:ascii="標楷體" w:eastAsia="標楷體" w:hAnsi="標楷體"/>
              </w:rPr>
            </w:pPr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被保險人死亡時，給與一次死亡給付：一、因公死亡者，繳付保險費未滿二十年者，給與三十六</w:t>
            </w:r>
            <w:proofErr w:type="gramStart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個</w:t>
            </w:r>
            <w:proofErr w:type="gramEnd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月；繳付保險費滿二十年以上者，給與四十八</w:t>
            </w:r>
            <w:proofErr w:type="gramStart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個</w:t>
            </w:r>
            <w:proofErr w:type="gramEnd"/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月。</w:t>
            </w:r>
          </w:p>
        </w:tc>
      </w:tr>
    </w:tbl>
    <w:p w:rsidR="000148F6" w:rsidRDefault="000148F6" w:rsidP="000148F6">
      <w:pPr>
        <w:pStyle w:val="a4"/>
        <w:widowControl/>
        <w:shd w:val="clear" w:color="auto" w:fill="F9FBFB"/>
        <w:ind w:leftChars="0" w:left="720"/>
      </w:pPr>
    </w:p>
    <w:p w:rsidR="00CC3DC9" w:rsidRPr="000148F6" w:rsidRDefault="000148F6" w:rsidP="006A5774">
      <w:pPr>
        <w:widowControl/>
        <w:shd w:val="clear" w:color="auto" w:fill="F9FBFB"/>
        <w:spacing w:line="3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二、</w:t>
      </w:r>
      <w:r w:rsidR="00CC3DC9"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公務人員執行職務意外傷亡慰問金發：</w:t>
      </w:r>
      <w:r w:rsidR="00CC3DC9"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依「</w:t>
      </w:r>
      <w:hyperlink r:id="rId6" w:history="1">
        <w:r w:rsidR="00CC3DC9" w:rsidRPr="000148F6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  <w:u w:val="none"/>
            <w:shd w:val="clear" w:color="auto" w:fill="F5FCFB"/>
          </w:rPr>
          <w:t>公務人員執行職務意外傷亡慰問金發給辦法</w:t>
        </w:r>
      </w:hyperlink>
      <w:r w:rsidR="00CC3DC9"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」第4條規定略</w:t>
      </w:r>
      <w:proofErr w:type="gramStart"/>
      <w:r w:rsidR="00CC3DC9"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End"/>
      <w:r w:rsidR="00CC3DC9"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摘要如下</w:t>
      </w:r>
      <w:r w:rsidR="00CC3DC9" w:rsidRPr="000148F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CC3DC9" w:rsidTr="000148F6">
        <w:tc>
          <w:tcPr>
            <w:tcW w:w="1843" w:type="dxa"/>
          </w:tcPr>
          <w:p w:rsidR="00CC3DC9" w:rsidRPr="000148F6" w:rsidRDefault="00CC3DC9" w:rsidP="00CC3D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受傷慰問金</w:t>
            </w:r>
          </w:p>
        </w:tc>
        <w:tc>
          <w:tcPr>
            <w:tcW w:w="8364" w:type="dxa"/>
          </w:tcPr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傷勢嚴重住院急救有生命危險者，發給新臺幣十萬元。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2.傷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勢嚴重住院有失能之虞者，發給新臺幣八萬元。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傷勢嚴重連續住院</w:t>
            </w:r>
            <w:proofErr w:type="gramStart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十日以上者，發給新臺幣四萬元。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連續住院二十一日以上，未滿</w:t>
            </w:r>
            <w:proofErr w:type="gramStart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十日者，發給新臺幣三萬元。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連續住院十四日以上，未滿二十一日者，發給新臺幣二萬元。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連續住院未滿十四日或未住院而須治療七次以上者，發給新臺幣一萬元。</w:t>
            </w:r>
          </w:p>
          <w:p w:rsidR="00CC3DC9" w:rsidRPr="00CC3DC9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未住院而須治療六次以下者，發給新臺幣三千元。</w:t>
            </w:r>
          </w:p>
          <w:p w:rsidR="00CC3DC9" w:rsidRPr="000148F6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前七目情形如係因執行危險職務所致者，依前七目標準加百分之三十發給。</w:t>
            </w:r>
          </w:p>
        </w:tc>
      </w:tr>
      <w:tr w:rsidR="00CC3DC9" w:rsidTr="000148F6">
        <w:tc>
          <w:tcPr>
            <w:tcW w:w="1843" w:type="dxa"/>
          </w:tcPr>
          <w:p w:rsidR="00CC3DC9" w:rsidRPr="000148F6" w:rsidRDefault="000148F6" w:rsidP="00CC3D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失能慰問金</w:t>
            </w:r>
          </w:p>
        </w:tc>
        <w:tc>
          <w:tcPr>
            <w:tcW w:w="8364" w:type="dxa"/>
          </w:tcPr>
          <w:p w:rsidR="00CC3DC9" w:rsidRPr="000148F6" w:rsidRDefault="000148F6" w:rsidP="000148F6">
            <w:pPr>
              <w:widowControl/>
              <w:shd w:val="clear" w:color="auto" w:fill="F9FBFB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</w:t>
            </w:r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全失能者，發給新臺幣</w:t>
            </w:r>
            <w:proofErr w:type="gramStart"/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百萬元；</w:t>
            </w:r>
            <w:proofErr w:type="gramStart"/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半失能</w:t>
            </w:r>
            <w:proofErr w:type="gramEnd"/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者，發給新臺幣一百五十萬元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;</w:t>
            </w:r>
            <w:r w:rsidR="00CC3DC9" w:rsidRPr="000148F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部分失能者，發給新臺幣八十萬元。</w:t>
            </w:r>
          </w:p>
          <w:p w:rsidR="00CC3DC9" w:rsidRPr="000148F6" w:rsidRDefault="000148F6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因執行危險職務所致全失能者，發給新臺幣六百萬元；</w:t>
            </w:r>
            <w:proofErr w:type="gramStart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半失能</w:t>
            </w:r>
            <w:proofErr w:type="gramEnd"/>
            <w:r w:rsidR="00CC3DC9"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者，發給新臺幣三百萬元；部分失能，發給新臺幣一百六十萬元。</w:t>
            </w:r>
          </w:p>
        </w:tc>
      </w:tr>
      <w:tr w:rsidR="00CC3DC9" w:rsidTr="000148F6">
        <w:tc>
          <w:tcPr>
            <w:tcW w:w="1843" w:type="dxa"/>
          </w:tcPr>
          <w:p w:rsidR="00CC3DC9" w:rsidRPr="000148F6" w:rsidRDefault="00CC3DC9" w:rsidP="00CC3D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死亡慰問金</w:t>
            </w:r>
          </w:p>
        </w:tc>
        <w:tc>
          <w:tcPr>
            <w:tcW w:w="8364" w:type="dxa"/>
          </w:tcPr>
          <w:p w:rsidR="00CC3DC9" w:rsidRPr="00CC3DC9" w:rsidRDefault="00CC3DC9" w:rsidP="000148F6">
            <w:pPr>
              <w:widowControl/>
              <w:shd w:val="clear" w:color="auto" w:fill="F9FBFB"/>
              <w:spacing w:line="320" w:lineRule="exact"/>
              <w:ind w:firstLineChars="14" w:firstLine="3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死亡者，發給其遺族新臺幣</w:t>
            </w:r>
            <w:proofErr w:type="gramStart"/>
            <w:r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Pr="00CC3DC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百萬元。執行危險職務所致死亡者，發給其遺族新臺幣六百萬元。</w:t>
            </w:r>
          </w:p>
          <w:p w:rsidR="00CC3DC9" w:rsidRPr="000148F6" w:rsidRDefault="00CC3DC9" w:rsidP="000148F6">
            <w:pPr>
              <w:widowControl/>
              <w:spacing w:line="320" w:lineRule="exact"/>
              <w:ind w:firstLineChars="14" w:firstLine="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48F6" w:rsidRPr="000148F6" w:rsidRDefault="000148F6" w:rsidP="000148F6">
      <w:pPr>
        <w:widowControl/>
        <w:shd w:val="clear" w:color="auto" w:fill="F9FBFB"/>
        <w:spacing w:line="24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proofErr w:type="gramStart"/>
      <w:r w:rsidRPr="000148F6">
        <w:rPr>
          <w:rFonts w:ascii="標楷體" w:eastAsia="標楷體" w:hAnsi="標楷體" w:cs="新細明體" w:hint="eastAsia"/>
          <w:color w:val="000000"/>
          <w:kern w:val="0"/>
          <w:sz w:val="22"/>
        </w:rPr>
        <w:t>＊</w:t>
      </w:r>
      <w:proofErr w:type="gramEnd"/>
      <w:r w:rsidRPr="000148F6">
        <w:rPr>
          <w:rFonts w:ascii="標楷體" w:eastAsia="標楷體" w:hAnsi="標楷體" w:cs="新細明體" w:hint="eastAsia"/>
          <w:color w:val="000000"/>
          <w:kern w:val="0"/>
          <w:sz w:val="22"/>
        </w:rPr>
        <w:t>本辦法第９條規定，本辦法施行後，各機關學校不得再為其人員投保額外保險。但依下列各款辦理之保險，不在此限：一、依法律或法規命令規定得以辦理保險者。二、執行特殊職務期間得經行政院同意辦理保險者。三、因公赴國外出差人員得免經核准，由服務機關學校</w:t>
      </w:r>
      <w:proofErr w:type="gramStart"/>
      <w:r w:rsidRPr="000148F6">
        <w:rPr>
          <w:rFonts w:ascii="標楷體" w:eastAsia="標楷體" w:hAnsi="標楷體" w:cs="新細明體" w:hint="eastAsia"/>
          <w:color w:val="000000"/>
          <w:kern w:val="0"/>
          <w:sz w:val="22"/>
        </w:rPr>
        <w:t>逕</w:t>
      </w:r>
      <w:proofErr w:type="gramEnd"/>
      <w:r w:rsidRPr="000148F6">
        <w:rPr>
          <w:rFonts w:ascii="標楷體" w:eastAsia="標楷體" w:hAnsi="標楷體" w:cs="新細明體" w:hint="eastAsia"/>
          <w:color w:val="000000"/>
          <w:kern w:val="0"/>
          <w:sz w:val="22"/>
        </w:rPr>
        <w:t>依有關規定辦理保險者。四、派駐有戰爭危險國家之駐外人員得辦理投保兵災險者。五、辦理文康旅遊活動得為參加人員投保旅遊平安保險者。</w:t>
      </w:r>
    </w:p>
    <w:p w:rsidR="000148F6" w:rsidRPr="000148F6" w:rsidRDefault="000148F6" w:rsidP="005A1689"/>
    <w:p w:rsidR="005A1689" w:rsidRDefault="00CC3DC9" w:rsidP="006A5774">
      <w:pPr>
        <w:spacing w:line="320" w:lineRule="exact"/>
      </w:pPr>
      <w:r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三、</w:t>
      </w:r>
      <w:r w:rsidR="005A1689" w:rsidRPr="000148F6">
        <w:rPr>
          <w:rFonts w:ascii="細明體" w:eastAsia="細明體" w:hAnsi="細明體" w:cs="新細明體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校園公共意外責任險</w:t>
      </w:r>
      <w:r w:rsidRPr="000148F6">
        <w:rPr>
          <w:rFonts w:ascii="細明體" w:eastAsia="細明體" w:hAnsi="細明體" w:cs="新細明體" w:hint="eastAsia"/>
          <w:b/>
          <w:color w:val="000000"/>
          <w:kern w:val="0"/>
          <w:sz w:val="27"/>
          <w:szCs w:val="27"/>
          <w:bdr w:val="single" w:sz="4" w:space="0" w:color="auto"/>
          <w:shd w:val="pct15" w:color="auto" w:fill="FFFFFF"/>
        </w:rPr>
        <w:t>：</w:t>
      </w:r>
      <w:r w:rsidR="005A1689" w:rsidRPr="006A5774">
        <w:rPr>
          <w:rFonts w:ascii="標楷體" w:eastAsia="標楷體" w:hAnsi="標楷體" w:cs="Arial" w:hint="eastAsia"/>
          <w:color w:val="000000"/>
          <w:sz w:val="28"/>
          <w:szCs w:val="28"/>
        </w:rPr>
        <w:t>總務處權責。</w:t>
      </w:r>
      <w:r w:rsidRPr="006A5774">
        <w:rPr>
          <w:rFonts w:ascii="標楷體" w:eastAsia="標楷體" w:hAnsi="標楷體" w:cs="Arial" w:hint="eastAsia"/>
          <w:color w:val="000000"/>
          <w:sz w:val="28"/>
          <w:szCs w:val="28"/>
        </w:rPr>
        <w:t>據了解應係於</w:t>
      </w:r>
      <w:r w:rsidR="005A1689" w:rsidRPr="006A5774">
        <w:rPr>
          <w:rFonts w:ascii="標楷體" w:eastAsia="標楷體" w:hAnsi="標楷體" w:cs="Arial" w:hint="eastAsia"/>
          <w:color w:val="000000"/>
          <w:sz w:val="28"/>
          <w:szCs w:val="28"/>
        </w:rPr>
        <w:t>校園內，經認定學校</w:t>
      </w:r>
      <w:r w:rsidRPr="006A5774">
        <w:rPr>
          <w:rFonts w:ascii="標楷體" w:eastAsia="標楷體" w:hAnsi="標楷體" w:cs="Arial" w:hint="eastAsia"/>
          <w:color w:val="000000"/>
          <w:sz w:val="28"/>
          <w:szCs w:val="28"/>
        </w:rPr>
        <w:t>有過失，向保險公司申請理賠</w:t>
      </w:r>
      <w:r w:rsidR="000148F6" w:rsidRPr="006A5774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sectPr w:rsidR="005A1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53EB"/>
    <w:multiLevelType w:val="hybridMultilevel"/>
    <w:tmpl w:val="5CB61AD0"/>
    <w:lvl w:ilvl="0" w:tplc="311E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361B78"/>
    <w:multiLevelType w:val="hybridMultilevel"/>
    <w:tmpl w:val="E4948D9A"/>
    <w:lvl w:ilvl="0" w:tplc="C518BA58">
      <w:start w:val="1"/>
      <w:numFmt w:val="taiwaneseCountingThousand"/>
      <w:lvlText w:val="%1、"/>
      <w:lvlJc w:val="left"/>
      <w:pPr>
        <w:ind w:left="552" w:hanging="552"/>
      </w:pPr>
      <w:rPr>
        <w:rFonts w:ascii="細明體" w:eastAsia="細明體" w:hAnsi="細明體" w:cs="新細明體" w:hint="default"/>
        <w:color w:val="000000"/>
        <w:sz w:val="27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AF398A"/>
    <w:multiLevelType w:val="hybridMultilevel"/>
    <w:tmpl w:val="824E74FC"/>
    <w:lvl w:ilvl="0" w:tplc="672A4716">
      <w:start w:val="1"/>
      <w:numFmt w:val="taiwaneseCountingThousand"/>
      <w:lvlText w:val="%1、"/>
      <w:lvlJc w:val="left"/>
      <w:pPr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6053268E"/>
    <w:multiLevelType w:val="hybridMultilevel"/>
    <w:tmpl w:val="B26EB3FC"/>
    <w:lvl w:ilvl="0" w:tplc="0890008E">
      <w:start w:val="1"/>
      <w:numFmt w:val="taiwaneseCountingThousand"/>
      <w:lvlText w:val="%1、"/>
      <w:lvlJc w:val="left"/>
      <w:pPr>
        <w:ind w:left="720" w:hanging="720"/>
      </w:pPr>
      <w:rPr>
        <w:rFonts w:ascii="細明體" w:eastAsia="細明體" w:hAnsi="細明體" w:cs="新細明體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E3833"/>
    <w:multiLevelType w:val="hybridMultilevel"/>
    <w:tmpl w:val="093217BA"/>
    <w:lvl w:ilvl="0" w:tplc="40DC8D2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9" w:hanging="480"/>
      </w:pPr>
    </w:lvl>
    <w:lvl w:ilvl="2" w:tplc="0409001B" w:tentative="1">
      <w:start w:val="1"/>
      <w:numFmt w:val="lowerRoman"/>
      <w:lvlText w:val="%3."/>
      <w:lvlJc w:val="right"/>
      <w:pPr>
        <w:ind w:left="1479" w:hanging="480"/>
      </w:pPr>
    </w:lvl>
    <w:lvl w:ilvl="3" w:tplc="0409000F" w:tentative="1">
      <w:start w:val="1"/>
      <w:numFmt w:val="decimal"/>
      <w:lvlText w:val="%4."/>
      <w:lvlJc w:val="left"/>
      <w:pPr>
        <w:ind w:left="1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9" w:hanging="480"/>
      </w:pPr>
    </w:lvl>
    <w:lvl w:ilvl="5" w:tplc="0409001B" w:tentative="1">
      <w:start w:val="1"/>
      <w:numFmt w:val="lowerRoman"/>
      <w:lvlText w:val="%6."/>
      <w:lvlJc w:val="right"/>
      <w:pPr>
        <w:ind w:left="2919" w:hanging="480"/>
      </w:pPr>
    </w:lvl>
    <w:lvl w:ilvl="6" w:tplc="0409000F" w:tentative="1">
      <w:start w:val="1"/>
      <w:numFmt w:val="decimal"/>
      <w:lvlText w:val="%7."/>
      <w:lvlJc w:val="left"/>
      <w:pPr>
        <w:ind w:left="3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9" w:hanging="480"/>
      </w:pPr>
    </w:lvl>
    <w:lvl w:ilvl="8" w:tplc="0409001B" w:tentative="1">
      <w:start w:val="1"/>
      <w:numFmt w:val="lowerRoman"/>
      <w:lvlText w:val="%9."/>
      <w:lvlJc w:val="right"/>
      <w:pPr>
        <w:ind w:left="4359" w:hanging="480"/>
      </w:pPr>
    </w:lvl>
  </w:abstractNum>
  <w:abstractNum w:abstractNumId="5" w15:restartNumberingAfterBreak="0">
    <w:nsid w:val="76F859C5"/>
    <w:multiLevelType w:val="hybridMultilevel"/>
    <w:tmpl w:val="F0EC496C"/>
    <w:lvl w:ilvl="0" w:tplc="7A185AB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89"/>
    <w:rsid w:val="000148F6"/>
    <w:rsid w:val="00030184"/>
    <w:rsid w:val="001C4537"/>
    <w:rsid w:val="001C5F58"/>
    <w:rsid w:val="003C518A"/>
    <w:rsid w:val="005A1689"/>
    <w:rsid w:val="006A5774"/>
    <w:rsid w:val="0077070E"/>
    <w:rsid w:val="00C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61EF5-ABD1-4570-81D3-4578E62B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D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3DC9"/>
    <w:pPr>
      <w:ind w:leftChars="200" w:left="480"/>
    </w:pPr>
  </w:style>
  <w:style w:type="table" w:styleId="a5">
    <w:name w:val="Table Grid"/>
    <w:basedOn w:val="a1"/>
    <w:uiPriority w:val="39"/>
    <w:rsid w:val="00CC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8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74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7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3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8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4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5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29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4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5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1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4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5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4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8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4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7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83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5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2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1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7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48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0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2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3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0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7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08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71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4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moj.gov.tw/LawClass/LawAll.aspx?pcode=S0090005" TargetMode="External"/><Relationship Id="rId5" Type="http://schemas.openxmlformats.org/officeDocument/2006/relationships/hyperlink" Target="https://law.moj.gov.tw/LawClass/LawAll.aspx?pcode=S007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dcterms:created xsi:type="dcterms:W3CDTF">2023-02-23T03:52:00Z</dcterms:created>
  <dcterms:modified xsi:type="dcterms:W3CDTF">2023-02-23T03:52:00Z</dcterms:modified>
</cp:coreProperties>
</file>